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0A1" w:rsidRPr="000A64D8" w:rsidRDefault="00594B8C" w:rsidP="00B330A1">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00B330A1" w:rsidRPr="000A64D8">
        <w:rPr>
          <w:rFonts w:ascii="Arial" w:hAnsi="Arial" w:cs="Arial"/>
          <w:b/>
          <w:sz w:val="24"/>
          <w:szCs w:val="24"/>
        </w:rPr>
        <w:tab/>
      </w:r>
      <w:r w:rsidR="00B330A1" w:rsidRPr="005D7472">
        <w:rPr>
          <w:rFonts w:ascii="Arial" w:hAnsi="Arial" w:cs="Arial"/>
          <w:b/>
          <w:sz w:val="28"/>
          <w:szCs w:val="24"/>
        </w:rPr>
        <w:t>R1-</w:t>
      </w:r>
      <w:r w:rsidR="00B87229">
        <w:rPr>
          <w:rFonts w:ascii="Arial" w:hAnsi="Arial" w:cs="Arial"/>
          <w:b/>
          <w:sz w:val="28"/>
          <w:szCs w:val="24"/>
        </w:rPr>
        <w:t>1710439</w:t>
      </w:r>
    </w:p>
    <w:p w:rsidR="00B330A1" w:rsidRPr="00FD021C" w:rsidRDefault="00B330A1" w:rsidP="00B330A1">
      <w:pPr>
        <w:tabs>
          <w:tab w:val="right" w:pos="9630"/>
        </w:tabs>
        <w:spacing w:after="0"/>
        <w:jc w:val="both"/>
        <w:rPr>
          <w:rFonts w:ascii="Arial" w:hAnsi="Arial" w:cs="Arial"/>
          <w:b/>
          <w:sz w:val="24"/>
          <w:szCs w:val="24"/>
        </w:rPr>
      </w:pP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30</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June</w:t>
      </w:r>
      <w:r>
        <w:rPr>
          <w:rFonts w:ascii="Arial" w:hAnsi="Arial" w:cs="Arial"/>
          <w:b/>
          <w:bCs/>
          <w:sz w:val="28"/>
        </w:rPr>
        <w:t xml:space="preserve"> </w:t>
      </w:r>
      <w:r>
        <w:rPr>
          <w:rFonts w:ascii="Arial" w:hAnsi="Arial" w:cs="Arial"/>
          <w:b/>
          <w:sz w:val="24"/>
          <w:szCs w:val="24"/>
        </w:rPr>
        <w:t>2017</w:t>
      </w:r>
    </w:p>
    <w:p w:rsidR="00B330A1" w:rsidRPr="00FD021C" w:rsidRDefault="00B330A1" w:rsidP="00B330A1">
      <w:pPr>
        <w:spacing w:after="0"/>
        <w:jc w:val="both"/>
        <w:rPr>
          <w:rFonts w:ascii="Arial" w:hAnsi="Arial" w:cs="Arial"/>
          <w:b/>
          <w:sz w:val="24"/>
          <w:szCs w:val="24"/>
        </w:rPr>
      </w:pPr>
      <w:r>
        <w:rPr>
          <w:rFonts w:ascii="Arial" w:hAnsi="Arial" w:cs="Arial"/>
          <w:b/>
          <w:sz w:val="24"/>
          <w:szCs w:val="24"/>
        </w:rPr>
        <w:t>Qingdao, P. R. China</w:t>
      </w:r>
      <w:bookmarkStart w:id="0" w:name="_GoBack"/>
      <w:bookmarkEnd w:id="0"/>
    </w:p>
    <w:p w:rsidR="00B330A1" w:rsidRPr="000A64D8" w:rsidRDefault="00B330A1" w:rsidP="00B330A1">
      <w:pPr>
        <w:pStyle w:val="Footer"/>
        <w:jc w:val="both"/>
        <w:rPr>
          <w:noProof w:val="0"/>
        </w:rPr>
      </w:pPr>
    </w:p>
    <w:p w:rsidR="00B330A1" w:rsidRPr="000A64D8" w:rsidRDefault="00B330A1" w:rsidP="00B330A1">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87229">
        <w:rPr>
          <w:rFonts w:ascii="Arial" w:hAnsi="Arial"/>
          <w:sz w:val="24"/>
        </w:rPr>
        <w:t>5.1.3.1.4.2</w:t>
      </w:r>
      <w:r>
        <w:rPr>
          <w:rFonts w:ascii="Arial" w:hAnsi="Arial"/>
          <w:sz w:val="24"/>
        </w:rPr>
        <w:tab/>
      </w:r>
    </w:p>
    <w:p w:rsidR="00B330A1" w:rsidRPr="001D7377" w:rsidRDefault="00B330A1" w:rsidP="00B330A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B330A1" w:rsidRPr="003570F9" w:rsidRDefault="00B330A1" w:rsidP="00B330A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C6E09">
        <w:rPr>
          <w:rFonts w:ascii="Arial" w:hAnsi="Arial"/>
          <w:sz w:val="22"/>
        </w:rPr>
        <w:t xml:space="preserve">On the Contents of </w:t>
      </w:r>
      <w:r>
        <w:rPr>
          <w:rFonts w:ascii="Arial" w:hAnsi="Arial"/>
          <w:sz w:val="22"/>
        </w:rPr>
        <w:t xml:space="preserve">Group Common PDCCH </w:t>
      </w:r>
    </w:p>
    <w:p w:rsidR="00B330A1" w:rsidRDefault="00B330A1" w:rsidP="00B330A1">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12A1B" w:rsidRPr="00EF6754" w:rsidRDefault="00412A1B" w:rsidP="00EF6754">
      <w:pPr>
        <w:jc w:val="both"/>
        <w:rPr>
          <w:rFonts w:eastAsia="MS Mincho"/>
          <w:sz w:val="24"/>
          <w:lang w:eastAsia="ja-JP"/>
        </w:rPr>
      </w:pPr>
      <w:r w:rsidRPr="0086141D">
        <w:rPr>
          <w:sz w:val="24"/>
          <w:szCs w:val="24"/>
          <w:lang w:val="en-GB"/>
        </w:rPr>
        <w:t>I</w:t>
      </w:r>
      <w:r w:rsidRPr="0086141D">
        <w:rPr>
          <w:sz w:val="24"/>
          <w:szCs w:val="24"/>
        </w:rPr>
        <w:t xml:space="preserve">n RAN #71, a new study item New Radio (NR) Access Technology was approved. </w:t>
      </w:r>
      <w:r>
        <w:rPr>
          <w:sz w:val="24"/>
        </w:rPr>
        <w:t xml:space="preserve">In RAN1 #89, the following agreements were </w:t>
      </w:r>
      <w:r w:rsidR="00EF6754">
        <w:rPr>
          <w:sz w:val="24"/>
        </w:rPr>
        <w:t>made on the group common PDCCH</w:t>
      </w:r>
    </w:p>
    <w:p w:rsidR="00412A1B" w:rsidRPr="0089274D" w:rsidRDefault="00412A1B" w:rsidP="00412A1B">
      <w:pPr>
        <w:rPr>
          <w:rFonts w:eastAsia="MS Mincho"/>
          <w:b/>
          <w:sz w:val="24"/>
          <w:szCs w:val="24"/>
          <w:u w:val="single"/>
          <w:lang w:eastAsia="ja-JP"/>
        </w:rPr>
      </w:pPr>
      <w:r w:rsidRPr="0089274D">
        <w:rPr>
          <w:rFonts w:eastAsia="MS Mincho" w:hint="eastAsia"/>
          <w:b/>
          <w:sz w:val="24"/>
          <w:szCs w:val="24"/>
          <w:highlight w:val="green"/>
          <w:u w:val="single"/>
          <w:lang w:eastAsia="ja-JP"/>
        </w:rPr>
        <w:t>Agreements:</w:t>
      </w:r>
    </w:p>
    <w:p w:rsidR="00412A1B" w:rsidRPr="009D2C7A" w:rsidRDefault="00412A1B" w:rsidP="00412A1B">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The SFI transmitted in a group-common PDCCH can indicate the slot format related information for one or more slots</w:t>
      </w:r>
    </w:p>
    <w:p w:rsidR="00412A1B" w:rsidRPr="009D2C7A" w:rsidRDefault="00412A1B" w:rsidP="00412A1B">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The slot format related information informs the UEs of the number of slots and the slot format(s) related information of those slots</w:t>
      </w:r>
    </w:p>
    <w:p w:rsidR="00412A1B" w:rsidRPr="009D2C7A" w:rsidRDefault="00412A1B" w:rsidP="00412A1B">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FFS: how to interpret the SFI when the UE is configured with multiple bandwidth parts</w:t>
      </w:r>
    </w:p>
    <w:p w:rsidR="00412A1B" w:rsidRPr="009D2C7A" w:rsidRDefault="00412A1B" w:rsidP="00412A1B">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 xml:space="preserve">FFS: details for UE </w:t>
      </w:r>
      <w:r w:rsidR="004B74D5" w:rsidRPr="009D2C7A">
        <w:rPr>
          <w:rFonts w:ascii="Times New Roman" w:eastAsia="MS Mincho" w:hAnsi="Times New Roman"/>
          <w:sz w:val="24"/>
          <w:szCs w:val="24"/>
        </w:rPr>
        <w:t>behavior</w:t>
      </w:r>
    </w:p>
    <w:p w:rsidR="00412A1B" w:rsidRDefault="00412A1B" w:rsidP="00412A1B">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9D2C7A">
        <w:rPr>
          <w:rFonts w:ascii="Times New Roman" w:eastAsia="MS Mincho" w:hAnsi="Times New Roman"/>
          <w:sz w:val="24"/>
          <w:szCs w:val="24"/>
        </w:rPr>
        <w:t>FFS: A UE may be configured to monitor for at most one group-common PDCCH carrying slot format related information (SFI) in a slot</w:t>
      </w:r>
    </w:p>
    <w:p w:rsidR="00EF6754" w:rsidRPr="00172F8E" w:rsidRDefault="00EF6754" w:rsidP="00EF6754">
      <w:pPr>
        <w:rPr>
          <w:rFonts w:eastAsia="MS Mincho"/>
          <w:b/>
          <w:color w:val="0070C0"/>
          <w:sz w:val="24"/>
          <w:szCs w:val="24"/>
          <w:u w:val="single"/>
          <w:lang w:eastAsia="ja-JP"/>
        </w:rPr>
      </w:pPr>
      <w:r w:rsidRPr="00172F8E">
        <w:rPr>
          <w:rFonts w:eastAsia="MS Mincho"/>
          <w:b/>
          <w:sz w:val="24"/>
          <w:szCs w:val="24"/>
          <w:highlight w:val="green"/>
          <w:u w:val="single"/>
          <w:lang w:eastAsia="ja-JP"/>
        </w:rPr>
        <w:t>Agreements:</w:t>
      </w:r>
    </w:p>
    <w:p w:rsidR="00EF6754" w:rsidRPr="00172F8E" w:rsidRDefault="00EF6754" w:rsidP="00EF675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172F8E">
        <w:rPr>
          <w:rFonts w:ascii="Times New Roman" w:eastAsia="MS Mincho" w:hAnsi="Times New Roman"/>
          <w:sz w:val="24"/>
          <w:szCs w:val="24"/>
        </w:rPr>
        <w:t>In ‘Slot format related information’, ‘other’ is at least:</w:t>
      </w:r>
    </w:p>
    <w:p w:rsidR="00EF6754" w:rsidRPr="00172F8E" w:rsidRDefault="00EF6754" w:rsidP="00EF6754">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172F8E">
        <w:rPr>
          <w:rFonts w:ascii="Times New Roman" w:eastAsia="MS Mincho" w:hAnsi="Times New Roman"/>
          <w:sz w:val="24"/>
          <w:szCs w:val="24"/>
        </w:rPr>
        <w:t>‘Unknown’</w:t>
      </w:r>
    </w:p>
    <w:p w:rsidR="00EF6754" w:rsidRPr="00172F8E" w:rsidRDefault="00EF6754" w:rsidP="00EF6754">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172F8E">
        <w:rPr>
          <w:rFonts w:ascii="Times New Roman" w:eastAsia="MS Mincho" w:hAnsi="Times New Roman"/>
          <w:sz w:val="24"/>
          <w:szCs w:val="24"/>
        </w:rPr>
        <w:t>UE shall not assume anything for the symbol with ‘Unknown’ by this information</w:t>
      </w:r>
    </w:p>
    <w:p w:rsidR="00EF6754" w:rsidRPr="00172F8E" w:rsidRDefault="00EF6754" w:rsidP="00EF6754">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172F8E">
        <w:rPr>
          <w:rFonts w:ascii="Times New Roman" w:eastAsia="MS Mincho" w:hAnsi="Times New Roman"/>
          <w:sz w:val="24"/>
          <w:szCs w:val="24"/>
        </w:rPr>
        <w:t>FFS: UE behavior when the UE receives the information for the symbol from SFI and broadcast DCI and/or UE-specific DCI and/or semi-static signaling/configuration</w:t>
      </w:r>
    </w:p>
    <w:p w:rsidR="00EF6754" w:rsidRPr="00172F8E" w:rsidRDefault="00EF6754" w:rsidP="00EF6754">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172F8E">
        <w:rPr>
          <w:rFonts w:ascii="Times New Roman" w:eastAsia="MS Mincho" w:hAnsi="Times New Roman"/>
          <w:sz w:val="24"/>
          <w:szCs w:val="24"/>
        </w:rPr>
        <w:t>FFS: ‘Empty’</w:t>
      </w:r>
    </w:p>
    <w:p w:rsidR="00EF6754" w:rsidRPr="00172F8E" w:rsidRDefault="00EF6754" w:rsidP="00EF6754">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4"/>
          <w:szCs w:val="24"/>
        </w:rPr>
      </w:pPr>
      <w:r w:rsidRPr="00172F8E">
        <w:rPr>
          <w:rFonts w:ascii="Times New Roman" w:eastAsia="MS Mincho" w:hAnsi="Times New Roman"/>
          <w:sz w:val="24"/>
          <w:szCs w:val="24"/>
        </w:rPr>
        <w:t>UEs can use this resource for interference measurement</w:t>
      </w:r>
    </w:p>
    <w:p w:rsidR="00EF6754" w:rsidRPr="00172F8E" w:rsidRDefault="00EF6754" w:rsidP="00EF6754">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color w:val="0070C0"/>
          <w:sz w:val="24"/>
          <w:szCs w:val="24"/>
        </w:rPr>
      </w:pPr>
      <w:r w:rsidRPr="00172F8E">
        <w:rPr>
          <w:rFonts w:ascii="Times New Roman" w:eastAsia="MS Mincho" w:hAnsi="Times New Roman"/>
          <w:sz w:val="24"/>
          <w:szCs w:val="24"/>
        </w:rPr>
        <w:t>UE may assume there is no transmission</w:t>
      </w:r>
    </w:p>
    <w:p w:rsidR="00EF6754" w:rsidRPr="009D2C7A" w:rsidRDefault="00EF6754" w:rsidP="004575C8">
      <w:pPr>
        <w:pStyle w:val="ListParagraph"/>
        <w:overflowPunct w:val="0"/>
        <w:autoSpaceDE w:val="0"/>
        <w:autoSpaceDN w:val="0"/>
        <w:adjustRightInd w:val="0"/>
        <w:spacing w:after="180"/>
        <w:contextualSpacing/>
        <w:textAlignment w:val="baseline"/>
        <w:rPr>
          <w:rFonts w:ascii="Times New Roman" w:eastAsia="MS Mincho" w:hAnsi="Times New Roman"/>
          <w:sz w:val="24"/>
          <w:szCs w:val="24"/>
        </w:rPr>
      </w:pPr>
    </w:p>
    <w:p w:rsidR="00412A1B" w:rsidRDefault="00412A1B" w:rsidP="00412A1B">
      <w:pPr>
        <w:overflowPunct/>
        <w:autoSpaceDE/>
        <w:autoSpaceDN/>
        <w:adjustRightInd/>
        <w:spacing w:after="0"/>
        <w:jc w:val="both"/>
        <w:textAlignment w:val="auto"/>
        <w:rPr>
          <w:sz w:val="24"/>
          <w:szCs w:val="24"/>
        </w:rPr>
      </w:pPr>
    </w:p>
    <w:p w:rsidR="00412A1B" w:rsidRPr="00E11C1C" w:rsidRDefault="00412A1B" w:rsidP="00412A1B">
      <w:pPr>
        <w:overflowPunct/>
        <w:autoSpaceDE/>
        <w:autoSpaceDN/>
        <w:adjustRightInd/>
        <w:spacing w:after="0"/>
        <w:jc w:val="both"/>
        <w:textAlignment w:val="auto"/>
        <w:rPr>
          <w:rFonts w:eastAsia="MS Mincho"/>
          <w:sz w:val="24"/>
          <w:szCs w:val="24"/>
          <w:lang w:eastAsia="ja-JP"/>
        </w:rPr>
      </w:pPr>
      <w:r>
        <w:rPr>
          <w:sz w:val="24"/>
          <w:szCs w:val="24"/>
        </w:rPr>
        <w:t xml:space="preserve">In this contribution, we describe our views on the contents of group common PDCCH.  </w:t>
      </w:r>
    </w:p>
    <w:p w:rsidR="001D7377" w:rsidRDefault="004D338B" w:rsidP="001D7377">
      <w:pPr>
        <w:pStyle w:val="Heading1"/>
      </w:pPr>
      <w:r>
        <w:lastRenderedPageBreak/>
        <w:t xml:space="preserve">Group Common PDCCH </w:t>
      </w:r>
      <w:r w:rsidR="00082F4F">
        <w:t>Contents</w:t>
      </w:r>
    </w:p>
    <w:p w:rsidR="00082F4F" w:rsidRDefault="00082F4F" w:rsidP="00082F4F">
      <w:pPr>
        <w:pStyle w:val="Text"/>
        <w:jc w:val="both"/>
        <w:rPr>
          <w:rFonts w:ascii="Times New Roman" w:hAnsi="Times New Roman"/>
          <w:color w:val="000000" w:themeColor="text1"/>
          <w:sz w:val="24"/>
          <w:szCs w:val="24"/>
          <w:lang w:val="en-GB"/>
        </w:rPr>
      </w:pPr>
      <w:bookmarkStart w:id="2" w:name="_Ref378529477"/>
      <w:r>
        <w:rPr>
          <w:rFonts w:ascii="Times New Roman" w:hAnsi="Times New Roman"/>
          <w:color w:val="000000" w:themeColor="text1"/>
          <w:sz w:val="24"/>
          <w:szCs w:val="24"/>
          <w:lang w:val="en-GB"/>
        </w:rPr>
        <w:t xml:space="preserve">In our view, group common PDCCH is very important channel such that it gives flexibility for the network to dynamically allocate the resources at the same time reduces the blind decoding attempts form the UE side. </w:t>
      </w:r>
      <w:r w:rsidR="00DA3F10">
        <w:rPr>
          <w:rFonts w:ascii="Times New Roman" w:hAnsi="Times New Roman"/>
          <w:color w:val="000000" w:themeColor="text1"/>
          <w:sz w:val="24"/>
          <w:szCs w:val="24"/>
          <w:lang w:val="en-GB"/>
        </w:rPr>
        <w:t xml:space="preserve"> Note that according to the current agreement it is </w:t>
      </w:r>
      <w:r w:rsidR="008C32C6">
        <w:rPr>
          <w:rFonts w:ascii="Times New Roman" w:hAnsi="Times New Roman"/>
          <w:color w:val="000000" w:themeColor="text1"/>
          <w:sz w:val="24"/>
          <w:szCs w:val="24"/>
          <w:lang w:val="en-GB"/>
        </w:rPr>
        <w:t xml:space="preserve">not </w:t>
      </w:r>
      <w:r w:rsidR="00DA3F10">
        <w:rPr>
          <w:rFonts w:ascii="Times New Roman" w:hAnsi="Times New Roman"/>
          <w:color w:val="000000" w:themeColor="text1"/>
          <w:sz w:val="24"/>
          <w:szCs w:val="24"/>
          <w:lang w:val="en-GB"/>
        </w:rPr>
        <w:t xml:space="preserve">mandatory for the </w:t>
      </w:r>
      <w:r w:rsidR="008C32C6">
        <w:rPr>
          <w:rFonts w:ascii="Times New Roman" w:hAnsi="Times New Roman"/>
          <w:color w:val="000000" w:themeColor="text1"/>
          <w:sz w:val="24"/>
          <w:szCs w:val="24"/>
          <w:lang w:val="en-GB"/>
        </w:rPr>
        <w:t>UE to decode this channel. i.e. the UE can decode DCI without receiving group common PDCCH.</w:t>
      </w:r>
      <w:r w:rsidR="00DA3F10">
        <w:rPr>
          <w:rFonts w:ascii="Times New Roman" w:hAnsi="Times New Roman"/>
          <w:color w:val="000000" w:themeColor="text1"/>
          <w:sz w:val="24"/>
          <w:szCs w:val="24"/>
          <w:lang w:val="en-GB"/>
        </w:rPr>
        <w:t xml:space="preserve"> </w:t>
      </w:r>
      <w:r w:rsidR="00202539">
        <w:rPr>
          <w:rFonts w:ascii="Times New Roman" w:hAnsi="Times New Roman"/>
          <w:color w:val="000000" w:themeColor="text1"/>
          <w:sz w:val="24"/>
          <w:szCs w:val="24"/>
          <w:lang w:val="en-GB"/>
        </w:rPr>
        <w:t xml:space="preserve">We propose group common PDCCH should contain </w:t>
      </w:r>
    </w:p>
    <w:p w:rsidR="00202539" w:rsidRPr="00F74309" w:rsidRDefault="00202539" w:rsidP="00082F4F">
      <w:pPr>
        <w:pStyle w:val="Text"/>
        <w:jc w:val="both"/>
        <w:rPr>
          <w:rFonts w:ascii="Times New Roman" w:hAnsi="Times New Roman"/>
          <w:color w:val="000000" w:themeColor="text1"/>
          <w:sz w:val="24"/>
          <w:szCs w:val="24"/>
          <w:lang w:val="en-GB"/>
        </w:rPr>
      </w:pPr>
    </w:p>
    <w:p w:rsidR="00202539" w:rsidRPr="00F74309" w:rsidRDefault="0079585A" w:rsidP="00D16FB5">
      <w:pPr>
        <w:pStyle w:val="ListParagraph"/>
        <w:numPr>
          <w:ilvl w:val="0"/>
          <w:numId w:val="10"/>
        </w:numPr>
        <w:spacing w:after="200" w:line="276" w:lineRule="auto"/>
        <w:contextualSpacing/>
        <w:jc w:val="both"/>
        <w:rPr>
          <w:rFonts w:ascii="Times New Roman" w:hAnsi="Times New Roman"/>
          <w:sz w:val="24"/>
        </w:rPr>
      </w:pPr>
      <w:r>
        <w:rPr>
          <w:rFonts w:ascii="Times New Roman" w:hAnsi="Times New Roman"/>
          <w:b/>
          <w:sz w:val="24"/>
        </w:rPr>
        <w:t>Slot</w:t>
      </w:r>
      <w:r w:rsidR="00280D56">
        <w:rPr>
          <w:rFonts w:ascii="Times New Roman" w:hAnsi="Times New Roman"/>
          <w:b/>
          <w:sz w:val="24"/>
        </w:rPr>
        <w:t xml:space="preserve"> format related information</w:t>
      </w:r>
      <w:r w:rsidR="00202539" w:rsidRPr="00F74309">
        <w:rPr>
          <w:rFonts w:ascii="Times New Roman" w:hAnsi="Times New Roman"/>
          <w:sz w:val="24"/>
        </w:rPr>
        <w:t xml:space="preserve">: </w:t>
      </w:r>
      <w:r w:rsidR="00F74309" w:rsidRPr="00F74309">
        <w:rPr>
          <w:rFonts w:ascii="Times New Roman" w:hAnsi="Times New Roman"/>
          <w:sz w:val="24"/>
        </w:rPr>
        <w:t xml:space="preserve"> Since the main purpose of </w:t>
      </w:r>
      <w:r w:rsidR="00F74309">
        <w:rPr>
          <w:rFonts w:ascii="Times New Roman" w:hAnsi="Times New Roman"/>
          <w:sz w:val="24"/>
        </w:rPr>
        <w:t xml:space="preserve">group common PDCCH is to </w:t>
      </w:r>
      <w:r w:rsidR="00280D56">
        <w:rPr>
          <w:rFonts w:ascii="Times New Roman" w:hAnsi="Times New Roman"/>
          <w:sz w:val="24"/>
        </w:rPr>
        <w:t xml:space="preserve">indicate the slot format structure and we would like to minimize the number of possibilities. According to the current agreement, the slot format can be either DL or UL or Unknown. This means that to indicate these 3 combinations over M OFDM symbols, the number of possibilities are 3^M. If we add one more possibility of ‘Empty’, then the number of possibilities of slot format indicator will be 4^M.  Hence in our view, RAN1 should not add any other possibility for slot related information unless there is significant benefit. </w:t>
      </w:r>
      <w:r w:rsidR="007D46B1">
        <w:rPr>
          <w:rFonts w:ascii="Times New Roman" w:hAnsi="Times New Roman"/>
          <w:sz w:val="24"/>
        </w:rPr>
        <w:t xml:space="preserve"> We recommend companies to study different options for indicating these 3^M combinations. In our view, a pre-defined sub set of combinations which are known to the UE and network should be configured and group common PSDCCH should indicate a particular combination from the </w:t>
      </w:r>
      <w:r w:rsidR="00793C78">
        <w:rPr>
          <w:rFonts w:ascii="Times New Roman" w:hAnsi="Times New Roman"/>
          <w:sz w:val="24"/>
        </w:rPr>
        <w:t>subset to</w:t>
      </w:r>
      <w:r w:rsidR="007D46B1">
        <w:rPr>
          <w:rFonts w:ascii="Times New Roman" w:hAnsi="Times New Roman"/>
          <w:sz w:val="24"/>
        </w:rPr>
        <w:t xml:space="preserve"> indicate to the UE.</w:t>
      </w:r>
    </w:p>
    <w:p w:rsidR="00473C83" w:rsidRDefault="00202539" w:rsidP="00473C83">
      <w:pPr>
        <w:pStyle w:val="Text"/>
        <w:numPr>
          <w:ilvl w:val="0"/>
          <w:numId w:val="10"/>
        </w:numPr>
        <w:jc w:val="both"/>
        <w:rPr>
          <w:rFonts w:ascii="Times New Roman" w:hAnsi="Times New Roman"/>
          <w:color w:val="000000" w:themeColor="text1"/>
          <w:sz w:val="24"/>
          <w:szCs w:val="24"/>
        </w:rPr>
      </w:pPr>
      <w:r w:rsidRPr="00F74309">
        <w:rPr>
          <w:rFonts w:ascii="Times New Roman" w:hAnsi="Times New Roman"/>
          <w:b/>
          <w:sz w:val="24"/>
        </w:rPr>
        <w:t>MCS level for the PDCCH</w:t>
      </w:r>
      <w:r w:rsidRPr="00F74309">
        <w:rPr>
          <w:rFonts w:ascii="Times New Roman" w:hAnsi="Times New Roman"/>
          <w:sz w:val="24"/>
        </w:rPr>
        <w:t xml:space="preserve"> :</w:t>
      </w:r>
      <w:r w:rsidR="00F74309">
        <w:rPr>
          <w:rFonts w:ascii="Times New Roman" w:hAnsi="Times New Roman"/>
          <w:sz w:val="24"/>
        </w:rPr>
        <w:t xml:space="preserve"> </w:t>
      </w:r>
      <w:r w:rsidR="00F74309">
        <w:rPr>
          <w:rFonts w:ascii="Times New Roman" w:hAnsi="Times New Roman"/>
          <w:color w:val="000000" w:themeColor="text1"/>
          <w:sz w:val="24"/>
          <w:szCs w:val="24"/>
          <w:lang w:val="en-GB"/>
        </w:rPr>
        <w:t xml:space="preserve">Conventional downlink control channels for LTE and HSPA uses fixed modulation and </w:t>
      </w:r>
      <w:r w:rsidR="002F727E">
        <w:rPr>
          <w:rFonts w:ascii="Times New Roman" w:hAnsi="Times New Roman"/>
          <w:color w:val="000000" w:themeColor="text1"/>
          <w:sz w:val="24"/>
          <w:szCs w:val="24"/>
          <w:lang w:val="en-GB"/>
        </w:rPr>
        <w:t xml:space="preserve">variable </w:t>
      </w:r>
      <w:r w:rsidR="00F74309">
        <w:rPr>
          <w:rFonts w:ascii="Times New Roman" w:hAnsi="Times New Roman"/>
          <w:color w:val="000000" w:themeColor="text1"/>
          <w:sz w:val="24"/>
          <w:szCs w:val="24"/>
          <w:lang w:val="en-GB"/>
        </w:rPr>
        <w:t xml:space="preserve">code rates generated from a signal mother code rate of 1/3 (convolutional code).  This design is robust and provides sufficient reliability as decoding of control channel without any errors is utmost important for decoding data. However, when the UE or group UEs are in good channel conditions, the current design of using fixed modulation and code rate does not provide link adaptation gains.  It is well known that we can achieve significant improvement with link adaptation for data channels. Since the network gets information form the UE about channel state information (CSI), the control channel design is unable to exploit the CSI from the UE.  Hence in our view, NR </w:t>
      </w:r>
      <w:r w:rsidR="00F74309">
        <w:rPr>
          <w:rFonts w:ascii="Times New Roman" w:hAnsi="Times New Roman"/>
          <w:color w:val="000000" w:themeColor="text1"/>
          <w:sz w:val="24"/>
          <w:szCs w:val="24"/>
        </w:rPr>
        <w:t xml:space="preserve">downlink control can benefit from the CSI at the transmitter. Hence we propose that group common PDCCH should indicate the modulation and code rate and any polar coding </w:t>
      </w:r>
      <w:r w:rsidR="00280D56">
        <w:rPr>
          <w:rFonts w:ascii="Times New Roman" w:hAnsi="Times New Roman"/>
          <w:color w:val="000000" w:themeColor="text1"/>
          <w:sz w:val="24"/>
          <w:szCs w:val="24"/>
        </w:rPr>
        <w:t>parameters related to the PDCCH.</w:t>
      </w:r>
    </w:p>
    <w:p w:rsidR="00280D56" w:rsidRDefault="00280D56" w:rsidP="00280D56">
      <w:pPr>
        <w:pStyle w:val="Text"/>
        <w:ind w:left="720"/>
        <w:jc w:val="both"/>
        <w:rPr>
          <w:rFonts w:ascii="Times New Roman" w:hAnsi="Times New Roman"/>
          <w:color w:val="000000" w:themeColor="text1"/>
          <w:sz w:val="24"/>
          <w:szCs w:val="24"/>
        </w:rPr>
      </w:pPr>
    </w:p>
    <w:p w:rsidR="00AF55AC" w:rsidRPr="00473C83" w:rsidRDefault="00AF55AC" w:rsidP="00473C83">
      <w:pPr>
        <w:pStyle w:val="Text"/>
        <w:numPr>
          <w:ilvl w:val="0"/>
          <w:numId w:val="10"/>
        </w:numPr>
        <w:jc w:val="both"/>
        <w:rPr>
          <w:rFonts w:ascii="Times New Roman" w:hAnsi="Times New Roman"/>
          <w:color w:val="000000" w:themeColor="text1"/>
          <w:sz w:val="24"/>
          <w:szCs w:val="24"/>
        </w:rPr>
      </w:pPr>
      <w:r>
        <w:rPr>
          <w:rFonts w:ascii="Times New Roman" w:hAnsi="Times New Roman"/>
          <w:b/>
          <w:sz w:val="24"/>
        </w:rPr>
        <w:t>Reserved bits:</w:t>
      </w:r>
      <w:r w:rsidRPr="00AF55AC">
        <w:rPr>
          <w:rFonts w:ascii="Times New Roman" w:hAnsi="Times New Roman"/>
          <w:color w:val="222222"/>
          <w:sz w:val="24"/>
          <w:szCs w:val="24"/>
          <w:lang w:val="en-IN" w:eastAsia="en-IN"/>
        </w:rPr>
        <w:t xml:space="preserve"> </w:t>
      </w:r>
      <w:r>
        <w:rPr>
          <w:rFonts w:ascii="Times New Roman" w:hAnsi="Times New Roman"/>
          <w:color w:val="222222"/>
          <w:sz w:val="24"/>
          <w:szCs w:val="24"/>
          <w:lang w:val="en-IN" w:eastAsia="en-IN"/>
        </w:rPr>
        <w:t xml:space="preserve"> Since NR design is forward compatible with the future releases, we recommend to use reserved bits in group common PDCCH. For example in a two stage control channel design, the group common PDCCH can inform the UE whether the second stage present or not. If second stage is present, it can indicate the slot structure, modulation, code rate, frozen bit locations etc. of the second stage.  </w:t>
      </w:r>
    </w:p>
    <w:p w:rsidR="00DE4B5B" w:rsidRPr="00DE4B5B" w:rsidRDefault="00DE4B5B" w:rsidP="00DE4B5B">
      <w:pPr>
        <w:pStyle w:val="ListParagraph"/>
        <w:rPr>
          <w:rFonts w:ascii="Times New Roman" w:hAnsi="Times New Roman"/>
          <w:sz w:val="24"/>
        </w:rPr>
      </w:pPr>
    </w:p>
    <w:p w:rsidR="00DB67A9" w:rsidRDefault="00DE4B5B" w:rsidP="00DE4B5B">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w:t>
      </w:r>
      <w:r w:rsidR="00DB67A9">
        <w:rPr>
          <w:rFonts w:ascii="Times New Roman" w:hAnsi="Times New Roman"/>
          <w:b/>
          <w:sz w:val="24"/>
          <w:szCs w:val="24"/>
        </w:rPr>
        <w:t>H should indicate ‘Empty’ unless significant benefit was shown</w:t>
      </w:r>
    </w:p>
    <w:p w:rsidR="00DB67A9" w:rsidRDefault="00DB67A9" w:rsidP="00DB67A9">
      <w:pPr>
        <w:pStyle w:val="Text"/>
        <w:jc w:val="both"/>
        <w:rPr>
          <w:rFonts w:ascii="Times New Roman" w:hAnsi="Times New Roman"/>
          <w:b/>
          <w:noProof/>
          <w:sz w:val="24"/>
          <w:szCs w:val="24"/>
        </w:rPr>
      </w:pPr>
    </w:p>
    <w:p w:rsidR="00DB67A9" w:rsidRDefault="00DB67A9" w:rsidP="00DB67A9">
      <w:pPr>
        <w:pStyle w:val="Text"/>
        <w:jc w:val="both"/>
        <w:rPr>
          <w:rFonts w:ascii="Times New Roman" w:hAnsi="Times New Roman"/>
          <w:b/>
          <w:sz w:val="24"/>
          <w:szCs w:val="24"/>
        </w:rPr>
      </w:pPr>
      <w:r>
        <w:rPr>
          <w:rFonts w:ascii="Times New Roman" w:hAnsi="Times New Roman"/>
          <w:b/>
          <w:noProof/>
          <w:sz w:val="24"/>
          <w:szCs w:val="24"/>
        </w:rPr>
        <w:t>Prop</w:t>
      </w:r>
      <w:r w:rsidR="000B4D65">
        <w:rPr>
          <w:rFonts w:ascii="Times New Roman" w:hAnsi="Times New Roman"/>
          <w:b/>
          <w:noProof/>
          <w:sz w:val="24"/>
          <w:szCs w:val="24"/>
        </w:rPr>
        <w:t>osal 2</w:t>
      </w:r>
      <w:r w:rsidRPr="00767F04">
        <w:rPr>
          <w:rFonts w:ascii="Times New Roman" w:hAnsi="Times New Roman"/>
          <w:b/>
          <w:sz w:val="24"/>
          <w:szCs w:val="24"/>
        </w:rPr>
        <w:t>:</w:t>
      </w:r>
      <w:r>
        <w:rPr>
          <w:rFonts w:ascii="Times New Roman" w:hAnsi="Times New Roman"/>
          <w:b/>
          <w:sz w:val="24"/>
          <w:szCs w:val="24"/>
        </w:rPr>
        <w:t xml:space="preserve">  RAN1 should study </w:t>
      </w:r>
      <w:r w:rsidR="000B4D65">
        <w:rPr>
          <w:rFonts w:ascii="Times New Roman" w:hAnsi="Times New Roman"/>
          <w:b/>
          <w:sz w:val="24"/>
          <w:szCs w:val="24"/>
        </w:rPr>
        <w:t>different design</w:t>
      </w:r>
      <w:r>
        <w:rPr>
          <w:rFonts w:ascii="Times New Roman" w:hAnsi="Times New Roman"/>
          <w:b/>
          <w:sz w:val="24"/>
          <w:szCs w:val="24"/>
        </w:rPr>
        <w:t xml:space="preserve"> options for indicating the slot format indicator with </w:t>
      </w:r>
      <w:r w:rsidR="000B4D65">
        <w:rPr>
          <w:rFonts w:ascii="Times New Roman" w:hAnsi="Times New Roman"/>
          <w:b/>
          <w:sz w:val="24"/>
          <w:szCs w:val="24"/>
        </w:rPr>
        <w:t>reduced number</w:t>
      </w:r>
      <w:r>
        <w:rPr>
          <w:rFonts w:ascii="Times New Roman" w:hAnsi="Times New Roman"/>
          <w:b/>
          <w:sz w:val="24"/>
          <w:szCs w:val="24"/>
        </w:rPr>
        <w:t xml:space="preserve"> </w:t>
      </w:r>
      <w:r w:rsidR="000B4D65">
        <w:rPr>
          <w:rFonts w:ascii="Times New Roman" w:hAnsi="Times New Roman"/>
          <w:b/>
          <w:sz w:val="24"/>
          <w:szCs w:val="24"/>
        </w:rPr>
        <w:t>of combinations</w:t>
      </w:r>
    </w:p>
    <w:p w:rsidR="0041405C" w:rsidRDefault="0041405C" w:rsidP="00DE4B5B">
      <w:pPr>
        <w:pStyle w:val="Text"/>
        <w:jc w:val="both"/>
        <w:rPr>
          <w:rFonts w:ascii="Times New Roman" w:hAnsi="Times New Roman"/>
          <w:b/>
          <w:sz w:val="24"/>
          <w:szCs w:val="24"/>
        </w:rPr>
      </w:pPr>
    </w:p>
    <w:p w:rsidR="0041405C" w:rsidRDefault="000B4D65" w:rsidP="0041405C">
      <w:pPr>
        <w:pStyle w:val="Text"/>
        <w:jc w:val="both"/>
        <w:rPr>
          <w:rFonts w:ascii="Times New Roman" w:hAnsi="Times New Roman"/>
          <w:b/>
          <w:sz w:val="24"/>
          <w:szCs w:val="24"/>
        </w:rPr>
      </w:pPr>
      <w:r>
        <w:rPr>
          <w:rFonts w:ascii="Times New Roman" w:hAnsi="Times New Roman"/>
          <w:b/>
          <w:noProof/>
          <w:sz w:val="24"/>
          <w:szCs w:val="24"/>
        </w:rPr>
        <w:t>Proposal 3</w:t>
      </w:r>
      <w:r w:rsidR="0041405C" w:rsidRPr="00767F04">
        <w:rPr>
          <w:rFonts w:ascii="Times New Roman" w:hAnsi="Times New Roman"/>
          <w:b/>
          <w:sz w:val="24"/>
          <w:szCs w:val="24"/>
        </w:rPr>
        <w:t>:</w:t>
      </w:r>
      <w:r w:rsidR="00E530A5">
        <w:rPr>
          <w:rFonts w:ascii="Times New Roman" w:hAnsi="Times New Roman"/>
          <w:b/>
          <w:sz w:val="24"/>
          <w:szCs w:val="24"/>
        </w:rPr>
        <w:t xml:space="preserve">  </w:t>
      </w:r>
      <w:r w:rsidR="0041405C">
        <w:rPr>
          <w:rFonts w:ascii="Times New Roman" w:hAnsi="Times New Roman"/>
          <w:b/>
          <w:sz w:val="24"/>
          <w:szCs w:val="24"/>
        </w:rPr>
        <w:t>Group common PDCCH design</w:t>
      </w:r>
      <w:r w:rsidR="00E530A5">
        <w:rPr>
          <w:rFonts w:ascii="Times New Roman" w:hAnsi="Times New Roman"/>
          <w:b/>
          <w:sz w:val="24"/>
          <w:szCs w:val="24"/>
        </w:rPr>
        <w:t xml:space="preserve"> should contain reserved bits for future use</w:t>
      </w:r>
    </w:p>
    <w:p w:rsidR="0041405C" w:rsidRPr="002E6E64" w:rsidRDefault="0041405C" w:rsidP="00DE4B5B">
      <w:pPr>
        <w:pStyle w:val="Text"/>
        <w:jc w:val="both"/>
        <w:rPr>
          <w:rFonts w:ascii="Times New Roman" w:hAnsi="Times New Roman"/>
          <w:color w:val="000000" w:themeColor="text1"/>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bookmarkEnd w:id="3"/>
    <w:bookmarkEnd w:id="4"/>
    <w:bookmarkEnd w:id="5"/>
    <w:bookmarkEnd w:id="6"/>
    <w:bookmarkEnd w:id="7"/>
    <w:bookmarkEnd w:id="8"/>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5F0E96" w:rsidRPr="00DE4B5B" w:rsidRDefault="005F0E96" w:rsidP="005F0E96">
      <w:pPr>
        <w:pStyle w:val="ListParagraph"/>
        <w:rPr>
          <w:rFonts w:ascii="Times New Roman" w:hAnsi="Times New Roman"/>
          <w:sz w:val="24"/>
        </w:rPr>
      </w:pPr>
    </w:p>
    <w:p w:rsidR="005F0E96" w:rsidRDefault="005F0E96" w:rsidP="005F0E96">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indicate ‘Empty’ unless significant benefit was shown</w:t>
      </w:r>
    </w:p>
    <w:p w:rsidR="005F0E96" w:rsidRDefault="005F0E96" w:rsidP="005F0E96">
      <w:pPr>
        <w:pStyle w:val="Text"/>
        <w:jc w:val="both"/>
        <w:rPr>
          <w:rFonts w:ascii="Times New Roman" w:hAnsi="Times New Roman"/>
          <w:b/>
          <w:noProof/>
          <w:sz w:val="24"/>
          <w:szCs w:val="24"/>
        </w:rPr>
      </w:pPr>
    </w:p>
    <w:p w:rsidR="005F0E96" w:rsidRDefault="005F0E96" w:rsidP="005F0E96">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RAN1 should study different design options for indicating the slot format indicator with reduced number of combinations</w:t>
      </w:r>
    </w:p>
    <w:p w:rsidR="005F0E96" w:rsidRDefault="005F0E96" w:rsidP="005F0E96">
      <w:pPr>
        <w:pStyle w:val="Text"/>
        <w:jc w:val="both"/>
        <w:rPr>
          <w:rFonts w:ascii="Times New Roman" w:hAnsi="Times New Roman"/>
          <w:b/>
          <w:sz w:val="24"/>
          <w:szCs w:val="24"/>
        </w:rPr>
      </w:pPr>
    </w:p>
    <w:p w:rsidR="005F0E96" w:rsidRDefault="005F0E96" w:rsidP="005F0E96">
      <w:pPr>
        <w:pStyle w:val="Text"/>
        <w:jc w:val="both"/>
        <w:rPr>
          <w:rFonts w:ascii="Times New Roman" w:hAnsi="Times New Roman"/>
          <w:b/>
          <w:sz w:val="24"/>
          <w:szCs w:val="24"/>
        </w:rPr>
      </w:pPr>
      <w:r>
        <w:rPr>
          <w:rFonts w:ascii="Times New Roman" w:hAnsi="Times New Roman"/>
          <w:b/>
          <w:noProof/>
          <w:sz w:val="24"/>
          <w:szCs w:val="24"/>
        </w:rPr>
        <w:t>Proposal 3</w:t>
      </w:r>
      <w:r w:rsidRPr="00767F04">
        <w:rPr>
          <w:rFonts w:ascii="Times New Roman" w:hAnsi="Times New Roman"/>
          <w:b/>
          <w:sz w:val="24"/>
          <w:szCs w:val="24"/>
        </w:rPr>
        <w:t>:</w:t>
      </w:r>
      <w:r>
        <w:rPr>
          <w:rFonts w:ascii="Times New Roman" w:hAnsi="Times New Roman"/>
          <w:b/>
          <w:sz w:val="24"/>
          <w:szCs w:val="24"/>
        </w:rPr>
        <w:t xml:space="preserve">  Group common PDCCH design should contain reserved bits for future use</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2"/>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B51" w:rsidRDefault="004B6B51" w:rsidP="00A03DF3">
      <w:pPr>
        <w:spacing w:after="0"/>
      </w:pPr>
      <w:r>
        <w:separator/>
      </w:r>
    </w:p>
  </w:endnote>
  <w:endnote w:type="continuationSeparator" w:id="0">
    <w:p w:rsidR="004B6B51" w:rsidRDefault="004B6B5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57C0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C0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B51" w:rsidRDefault="004B6B51" w:rsidP="00A03DF3">
      <w:pPr>
        <w:spacing w:after="0"/>
      </w:pPr>
      <w:r>
        <w:separator/>
      </w:r>
    </w:p>
  </w:footnote>
  <w:footnote w:type="continuationSeparator" w:id="0">
    <w:p w:rsidR="004B6B51" w:rsidRDefault="004B6B51"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0D567B"/>
    <w:multiLevelType w:val="hybridMultilevel"/>
    <w:tmpl w:val="2BA83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55A3B4A">
      <w:start w:val="1"/>
      <w:numFmt w:val="bullet"/>
      <w:lvlText w:val=""/>
      <w:lvlJc w:val="left"/>
      <w:pPr>
        <w:ind w:left="2160" w:hanging="360"/>
      </w:pPr>
      <w:rPr>
        <w:rFonts w:ascii="Wingdings" w:hAnsi="Wingdings" w:hint="default"/>
        <w:color w:val="auto"/>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A564A"/>
    <w:multiLevelType w:val="hybridMultilevel"/>
    <w:tmpl w:val="DA22EA9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1"/>
  </w:num>
  <w:num w:numId="9">
    <w:abstractNumId w:val="4"/>
  </w:num>
  <w:num w:numId="10">
    <w:abstractNumId w:val="9"/>
  </w:num>
  <w:num w:numId="11">
    <w:abstractNumId w:val="13"/>
  </w:num>
  <w:num w:numId="12">
    <w:abstractNumId w:val="1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1AD9"/>
    <w:rsid w:val="000152F8"/>
    <w:rsid w:val="00017D31"/>
    <w:rsid w:val="000232BC"/>
    <w:rsid w:val="00024728"/>
    <w:rsid w:val="000250E0"/>
    <w:rsid w:val="00033AB4"/>
    <w:rsid w:val="000343A6"/>
    <w:rsid w:val="00040D73"/>
    <w:rsid w:val="00043767"/>
    <w:rsid w:val="00047A27"/>
    <w:rsid w:val="00063362"/>
    <w:rsid w:val="00070271"/>
    <w:rsid w:val="00077861"/>
    <w:rsid w:val="0008103A"/>
    <w:rsid w:val="00082F4F"/>
    <w:rsid w:val="000848FB"/>
    <w:rsid w:val="000A3623"/>
    <w:rsid w:val="000B4D65"/>
    <w:rsid w:val="000D44F2"/>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2F8E"/>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80D56"/>
    <w:rsid w:val="00291C98"/>
    <w:rsid w:val="0029404C"/>
    <w:rsid w:val="00297B7D"/>
    <w:rsid w:val="002B13C5"/>
    <w:rsid w:val="002B26F8"/>
    <w:rsid w:val="002B6B50"/>
    <w:rsid w:val="002C1EFA"/>
    <w:rsid w:val="002C3450"/>
    <w:rsid w:val="002C3A90"/>
    <w:rsid w:val="002E0ACF"/>
    <w:rsid w:val="002E3D2F"/>
    <w:rsid w:val="002E5508"/>
    <w:rsid w:val="002E6A45"/>
    <w:rsid w:val="002F70E1"/>
    <w:rsid w:val="002F727E"/>
    <w:rsid w:val="00304012"/>
    <w:rsid w:val="003149D8"/>
    <w:rsid w:val="00334E9F"/>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6E09"/>
    <w:rsid w:val="003C7092"/>
    <w:rsid w:val="003C71AC"/>
    <w:rsid w:val="003D2FF5"/>
    <w:rsid w:val="003D51ED"/>
    <w:rsid w:val="003F3BD7"/>
    <w:rsid w:val="003F54E8"/>
    <w:rsid w:val="00400A08"/>
    <w:rsid w:val="00412A1B"/>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575C8"/>
    <w:rsid w:val="00464F06"/>
    <w:rsid w:val="00470BCC"/>
    <w:rsid w:val="00473C83"/>
    <w:rsid w:val="00474038"/>
    <w:rsid w:val="00481979"/>
    <w:rsid w:val="00484322"/>
    <w:rsid w:val="004868C8"/>
    <w:rsid w:val="00491D5A"/>
    <w:rsid w:val="0049348F"/>
    <w:rsid w:val="004941F5"/>
    <w:rsid w:val="004951FA"/>
    <w:rsid w:val="00496256"/>
    <w:rsid w:val="004A4B20"/>
    <w:rsid w:val="004A5460"/>
    <w:rsid w:val="004A6AF1"/>
    <w:rsid w:val="004B3548"/>
    <w:rsid w:val="004B6B51"/>
    <w:rsid w:val="004B6CC8"/>
    <w:rsid w:val="004B74D5"/>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732D3"/>
    <w:rsid w:val="0058545D"/>
    <w:rsid w:val="00594B8C"/>
    <w:rsid w:val="00594E1F"/>
    <w:rsid w:val="005C0F42"/>
    <w:rsid w:val="005C1BF7"/>
    <w:rsid w:val="005D426A"/>
    <w:rsid w:val="005E49C7"/>
    <w:rsid w:val="005F0C52"/>
    <w:rsid w:val="005F0C73"/>
    <w:rsid w:val="005F0E96"/>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952EF"/>
    <w:rsid w:val="006A4ACB"/>
    <w:rsid w:val="006A53E5"/>
    <w:rsid w:val="006A5DD2"/>
    <w:rsid w:val="006B101C"/>
    <w:rsid w:val="006C6647"/>
    <w:rsid w:val="006D3D50"/>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3C78"/>
    <w:rsid w:val="0079557E"/>
    <w:rsid w:val="0079585A"/>
    <w:rsid w:val="007A4702"/>
    <w:rsid w:val="007A6469"/>
    <w:rsid w:val="007B3085"/>
    <w:rsid w:val="007B3DE9"/>
    <w:rsid w:val="007B574D"/>
    <w:rsid w:val="007B6F7A"/>
    <w:rsid w:val="007C1666"/>
    <w:rsid w:val="007C274D"/>
    <w:rsid w:val="007D46B1"/>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92F50"/>
    <w:rsid w:val="008930A9"/>
    <w:rsid w:val="008A70D6"/>
    <w:rsid w:val="008A7C64"/>
    <w:rsid w:val="008B7E92"/>
    <w:rsid w:val="008C32C6"/>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57C09"/>
    <w:rsid w:val="00A706A9"/>
    <w:rsid w:val="00A715E7"/>
    <w:rsid w:val="00A76BE5"/>
    <w:rsid w:val="00A83792"/>
    <w:rsid w:val="00A84B74"/>
    <w:rsid w:val="00A9069C"/>
    <w:rsid w:val="00A959CD"/>
    <w:rsid w:val="00A970DF"/>
    <w:rsid w:val="00AB1026"/>
    <w:rsid w:val="00AB3811"/>
    <w:rsid w:val="00AB7637"/>
    <w:rsid w:val="00AC078D"/>
    <w:rsid w:val="00AD402C"/>
    <w:rsid w:val="00AF1590"/>
    <w:rsid w:val="00AF55AC"/>
    <w:rsid w:val="00AF7903"/>
    <w:rsid w:val="00B00F7E"/>
    <w:rsid w:val="00B03635"/>
    <w:rsid w:val="00B05884"/>
    <w:rsid w:val="00B17D08"/>
    <w:rsid w:val="00B17D86"/>
    <w:rsid w:val="00B24E33"/>
    <w:rsid w:val="00B26FE6"/>
    <w:rsid w:val="00B330A1"/>
    <w:rsid w:val="00B37655"/>
    <w:rsid w:val="00B42FD4"/>
    <w:rsid w:val="00B4399E"/>
    <w:rsid w:val="00B47DC1"/>
    <w:rsid w:val="00B50BAC"/>
    <w:rsid w:val="00B54F62"/>
    <w:rsid w:val="00B7005D"/>
    <w:rsid w:val="00B70D99"/>
    <w:rsid w:val="00B74C3C"/>
    <w:rsid w:val="00B82AA0"/>
    <w:rsid w:val="00B82F38"/>
    <w:rsid w:val="00B865C9"/>
    <w:rsid w:val="00B86C48"/>
    <w:rsid w:val="00B87229"/>
    <w:rsid w:val="00B91E13"/>
    <w:rsid w:val="00B9611D"/>
    <w:rsid w:val="00BB273F"/>
    <w:rsid w:val="00BB4CBA"/>
    <w:rsid w:val="00BC0B2C"/>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6073"/>
    <w:rsid w:val="00D07C12"/>
    <w:rsid w:val="00D1087A"/>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B67A9"/>
    <w:rsid w:val="00DC4CC3"/>
    <w:rsid w:val="00DD704C"/>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275"/>
    <w:rsid w:val="00E8259C"/>
    <w:rsid w:val="00E82924"/>
    <w:rsid w:val="00E84501"/>
    <w:rsid w:val="00E91703"/>
    <w:rsid w:val="00E9354C"/>
    <w:rsid w:val="00E96EC3"/>
    <w:rsid w:val="00EA64BD"/>
    <w:rsid w:val="00EA6D32"/>
    <w:rsid w:val="00EB2825"/>
    <w:rsid w:val="00EB513C"/>
    <w:rsid w:val="00EB5891"/>
    <w:rsid w:val="00EB6F52"/>
    <w:rsid w:val="00EC05AE"/>
    <w:rsid w:val="00EE0BDA"/>
    <w:rsid w:val="00EE57C5"/>
    <w:rsid w:val="00EF6754"/>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2D3D-D0B5-4552-8590-B44C0F5E6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Majmundar, Milap</cp:lastModifiedBy>
  <cp:revision>2</cp:revision>
  <dcterms:created xsi:type="dcterms:W3CDTF">2017-06-17T02:43:00Z</dcterms:created>
  <dcterms:modified xsi:type="dcterms:W3CDTF">2017-06-17T02:43:00Z</dcterms:modified>
</cp:coreProperties>
</file>